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4BA" w:rsidRPr="00C373DE" w:rsidRDefault="004F64BA" w:rsidP="00782D28">
      <w:pPr>
        <w:pStyle w:val="NoSpacing"/>
        <w:jc w:val="center"/>
        <w:rPr>
          <w:b/>
          <w:bCs/>
          <w:i/>
          <w:iCs/>
          <w:sz w:val="28"/>
          <w:szCs w:val="28"/>
          <w:u w:val="single"/>
          <w:lang w:val="fi-FI"/>
        </w:rPr>
      </w:pPr>
      <w:r w:rsidRPr="00782D28">
        <w:rPr>
          <w:b/>
          <w:bCs/>
          <w:sz w:val="28"/>
          <w:szCs w:val="28"/>
          <w:lang w:val="lv-LV"/>
        </w:rPr>
        <w:t>Baltijas valstu tieslietu ministru kopīgā deklarācija</w:t>
      </w:r>
    </w:p>
    <w:p w:rsidR="004F64BA" w:rsidRPr="00C373DE" w:rsidRDefault="004F64BA" w:rsidP="001E630C">
      <w:pPr>
        <w:pStyle w:val="NoSpacing"/>
        <w:jc w:val="both"/>
        <w:rPr>
          <w:sz w:val="24"/>
          <w:szCs w:val="24"/>
          <w:lang w:val="fi-FI"/>
        </w:rPr>
      </w:pP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>Pamatojoties uz 1939.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>gada 23.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>augustā noslēgto</w:t>
      </w:r>
      <w:r>
        <w:rPr>
          <w:sz w:val="24"/>
          <w:szCs w:val="24"/>
          <w:lang w:val="lv-LV"/>
        </w:rPr>
        <w:t xml:space="preserve"> prettiesisko</w:t>
      </w:r>
      <w:r w:rsidRPr="00782D28">
        <w:rPr>
          <w:sz w:val="24"/>
          <w:szCs w:val="24"/>
          <w:lang w:val="lv-LV"/>
        </w:rPr>
        <w:t xml:space="preserve"> Molotova-Ribentropa paktu un slepenajiem pr</w:t>
      </w:r>
      <w:bookmarkStart w:id="0" w:name="_GoBack"/>
      <w:bookmarkEnd w:id="0"/>
      <w:r w:rsidRPr="00782D28">
        <w:rPr>
          <w:sz w:val="24"/>
          <w:szCs w:val="24"/>
          <w:lang w:val="lv-LV"/>
        </w:rPr>
        <w:t>otokoliem, PSRS 1940.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>gadā okupēja un anektēja trīs neatkarīgas Baltijas valstis: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Igaunijas Republiku, Latvijas Republiku un Lietuvas Republiku.</w:t>
      </w:r>
      <w:r>
        <w:rPr>
          <w:sz w:val="24"/>
          <w:szCs w:val="24"/>
          <w:lang w:val="lv-LV"/>
        </w:rPr>
        <w:t xml:space="preserve"> </w:t>
      </w:r>
      <w:r w:rsidRPr="00BF23B6">
        <w:rPr>
          <w:sz w:val="24"/>
          <w:szCs w:val="24"/>
          <w:lang w:val="lv-LV"/>
        </w:rPr>
        <w:t>Daudz</w:t>
      </w:r>
      <w:r>
        <w:rPr>
          <w:sz w:val="24"/>
          <w:szCs w:val="24"/>
          <w:lang w:val="lv-LV"/>
        </w:rPr>
        <w:t xml:space="preserve">i iedzīvotāji </w:t>
      </w:r>
      <w:r w:rsidRPr="00BF23B6">
        <w:rPr>
          <w:sz w:val="24"/>
          <w:szCs w:val="24"/>
          <w:lang w:val="lv-LV"/>
        </w:rPr>
        <w:t xml:space="preserve">upurēja savas dzīves un/vai tika deportēti no savas </w:t>
      </w:r>
      <w:r>
        <w:rPr>
          <w:sz w:val="24"/>
          <w:szCs w:val="24"/>
          <w:lang w:val="lv-LV"/>
        </w:rPr>
        <w:t>valsts</w:t>
      </w:r>
      <w:r w:rsidRPr="00BF23B6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Pēc 50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 xml:space="preserve">gadu ilgas pretošanās okupantu režīmam šo trīs Baltijas valstu </w:t>
      </w:r>
      <w:r>
        <w:rPr>
          <w:sz w:val="24"/>
          <w:szCs w:val="24"/>
          <w:lang w:val="lv-LV"/>
        </w:rPr>
        <w:t>tautas</w:t>
      </w:r>
      <w:r w:rsidRPr="00782D28">
        <w:rPr>
          <w:sz w:val="24"/>
          <w:szCs w:val="24"/>
          <w:lang w:val="lv-LV"/>
        </w:rPr>
        <w:t xml:space="preserve"> atguva savu neatkarību.</w:t>
      </w: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lv-LV"/>
        </w:rPr>
      </w:pP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 xml:space="preserve">Okupācijas gados visas trīs Baltijas valstis tika izmantotas </w:t>
      </w:r>
      <w:r>
        <w:rPr>
          <w:sz w:val="24"/>
          <w:szCs w:val="24"/>
          <w:lang w:val="lv-LV"/>
        </w:rPr>
        <w:t xml:space="preserve">okupācijas </w:t>
      </w:r>
      <w:r w:rsidRPr="00782D28">
        <w:rPr>
          <w:sz w:val="24"/>
          <w:szCs w:val="24"/>
          <w:lang w:val="lv-LV"/>
        </w:rPr>
        <w:t>režīma politiskajā</w:t>
      </w:r>
      <w:r>
        <w:rPr>
          <w:sz w:val="24"/>
          <w:szCs w:val="24"/>
          <w:lang w:val="lv-LV"/>
        </w:rPr>
        <w:t>m</w:t>
      </w:r>
      <w:r w:rsidRPr="00782D28">
        <w:rPr>
          <w:sz w:val="24"/>
          <w:szCs w:val="24"/>
          <w:lang w:val="lv-LV"/>
        </w:rPr>
        <w:t xml:space="preserve"> un ekonomiskajā</w:t>
      </w:r>
      <w:r>
        <w:rPr>
          <w:sz w:val="24"/>
          <w:szCs w:val="24"/>
          <w:lang w:val="lv-LV"/>
        </w:rPr>
        <w:t>m vajadzībām</w:t>
      </w:r>
      <w:r w:rsidRPr="00782D28">
        <w:rPr>
          <w:sz w:val="24"/>
          <w:szCs w:val="24"/>
          <w:lang w:val="lv-LV"/>
        </w:rPr>
        <w:t xml:space="preserve">, kā rezultātā tās ir cietušas milzīgus demogrāfiskos un </w:t>
      </w:r>
      <w:r>
        <w:rPr>
          <w:sz w:val="24"/>
          <w:szCs w:val="24"/>
          <w:lang w:val="lv-LV"/>
        </w:rPr>
        <w:t>sociāl</w:t>
      </w:r>
      <w:r w:rsidRPr="00782D28">
        <w:rPr>
          <w:sz w:val="24"/>
          <w:szCs w:val="24"/>
          <w:lang w:val="lv-LV"/>
        </w:rPr>
        <w:t>ekonomiskos zaudējumus.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 xml:space="preserve">Pēc Padomju Savienības sabrukuma Krievijas Federācija sevi pasludināja par PSRS tiesību un </w:t>
      </w:r>
      <w:r>
        <w:rPr>
          <w:sz w:val="24"/>
          <w:szCs w:val="24"/>
          <w:lang w:val="lv-LV"/>
        </w:rPr>
        <w:t>pienākumu mantinieci</w:t>
      </w:r>
      <w:r w:rsidRPr="00782D28">
        <w:rPr>
          <w:sz w:val="24"/>
          <w:szCs w:val="24"/>
          <w:lang w:val="lv-LV"/>
        </w:rPr>
        <w:t>.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Līdz ar to vis</w:t>
      </w:r>
      <w:r>
        <w:rPr>
          <w:sz w:val="24"/>
          <w:szCs w:val="24"/>
          <w:lang w:val="lv-LV"/>
        </w:rPr>
        <w:t>as tiesiskās</w:t>
      </w:r>
      <w:r w:rsidRPr="00782D28">
        <w:rPr>
          <w:sz w:val="24"/>
          <w:szCs w:val="24"/>
          <w:lang w:val="lv-LV"/>
        </w:rPr>
        <w:t xml:space="preserve"> prasī</w:t>
      </w:r>
      <w:r>
        <w:rPr>
          <w:sz w:val="24"/>
          <w:szCs w:val="24"/>
          <w:lang w:val="lv-LV"/>
        </w:rPr>
        <w:t>bas</w:t>
      </w:r>
      <w:r w:rsidRPr="00782D28">
        <w:rPr>
          <w:sz w:val="24"/>
          <w:szCs w:val="24"/>
          <w:lang w:val="lv-LV"/>
        </w:rPr>
        <w:t>, kas rodas saistībā ar Igaunijas, Latvijas un Lietuvas okupāciju un tās sekām, šobrīd ir risinām</w:t>
      </w:r>
      <w:r>
        <w:rPr>
          <w:sz w:val="24"/>
          <w:szCs w:val="24"/>
          <w:lang w:val="lv-LV"/>
        </w:rPr>
        <w:t>as</w:t>
      </w:r>
      <w:r w:rsidRPr="00782D28">
        <w:rPr>
          <w:sz w:val="24"/>
          <w:szCs w:val="24"/>
          <w:lang w:val="lv-LV"/>
        </w:rPr>
        <w:t xml:space="preserve"> ar Krievijas Federāciju.</w:t>
      </w: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lv-LV"/>
        </w:rPr>
      </w:pP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>Mēs, Baltijas valstu tieslietu ministri,</w:t>
      </w:r>
      <w:r>
        <w:rPr>
          <w:sz w:val="24"/>
          <w:szCs w:val="24"/>
          <w:lang w:val="lv-LV"/>
        </w:rPr>
        <w:t xml:space="preserve"> paziņojam</w:t>
      </w:r>
      <w:r w:rsidRPr="00782D28">
        <w:rPr>
          <w:sz w:val="24"/>
          <w:szCs w:val="24"/>
          <w:lang w:val="lv-LV"/>
        </w:rPr>
        <w:t>, ka ir pienācis laiks sakārtot attiecības ar pagātni un zinātniski pamatot</w:t>
      </w:r>
      <w:r>
        <w:rPr>
          <w:sz w:val="24"/>
          <w:szCs w:val="24"/>
          <w:lang w:val="lv-LV"/>
        </w:rPr>
        <w:t xml:space="preserve">i veikt </w:t>
      </w:r>
      <w:r w:rsidRPr="00782D28">
        <w:rPr>
          <w:sz w:val="24"/>
          <w:szCs w:val="24"/>
          <w:lang w:val="lv-LV"/>
        </w:rPr>
        <w:t>zaudējumu</w:t>
      </w:r>
      <w:r>
        <w:rPr>
          <w:sz w:val="24"/>
          <w:szCs w:val="24"/>
          <w:lang w:val="lv-LV"/>
        </w:rPr>
        <w:t xml:space="preserve"> aprēķinus</w:t>
      </w:r>
      <w:r w:rsidRPr="00782D28">
        <w:rPr>
          <w:sz w:val="24"/>
          <w:szCs w:val="24"/>
          <w:lang w:val="lv-LV"/>
        </w:rPr>
        <w:t>, ko ir radījis PSRS totalitārais komunistiskais okupācijas režīms.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Deklarācijas mērķis ir uzsvērt nepieciešamību visu trīs valstu nacionālajiem ekspertiem un politiķiem veltīt kopīgas pūles</w:t>
      </w:r>
      <w:r>
        <w:rPr>
          <w:sz w:val="24"/>
          <w:szCs w:val="24"/>
          <w:lang w:val="lv-LV"/>
        </w:rPr>
        <w:t xml:space="preserve"> un risināt sekojošus jautājumus</w:t>
      </w:r>
      <w:r w:rsidRPr="00782D28">
        <w:rPr>
          <w:sz w:val="24"/>
          <w:szCs w:val="24"/>
          <w:lang w:val="lv-LV"/>
        </w:rPr>
        <w:t>:</w:t>
      </w:r>
    </w:p>
    <w:p w:rsidR="004F64BA" w:rsidRPr="00782D28" w:rsidRDefault="004F64BA" w:rsidP="00D32A7E">
      <w:pPr>
        <w:pStyle w:val="NoSpacing"/>
        <w:jc w:val="both"/>
        <w:rPr>
          <w:sz w:val="24"/>
          <w:szCs w:val="24"/>
          <w:lang w:val="lv-LV"/>
        </w:rPr>
      </w:pPr>
    </w:p>
    <w:p w:rsidR="004F64BA" w:rsidRDefault="004F64BA" w:rsidP="00C373DE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Norādīt </w:t>
      </w:r>
      <w:r w:rsidRPr="00782D28">
        <w:rPr>
          <w:sz w:val="24"/>
          <w:szCs w:val="24"/>
          <w:lang w:val="lv-LV"/>
        </w:rPr>
        <w:t xml:space="preserve">faktu, ka Baltijas valstis </w:t>
      </w:r>
      <w:r w:rsidRPr="00782D28">
        <w:rPr>
          <w:i/>
          <w:iCs/>
          <w:sz w:val="24"/>
          <w:szCs w:val="24"/>
          <w:lang w:val="lv-LV"/>
        </w:rPr>
        <w:t>dejure</w:t>
      </w:r>
      <w:r>
        <w:rPr>
          <w:i/>
          <w:iCs/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pastāvēja </w:t>
      </w:r>
      <w:r w:rsidRPr="00782D28">
        <w:rPr>
          <w:sz w:val="24"/>
          <w:szCs w:val="24"/>
          <w:lang w:val="lv-LV"/>
        </w:rPr>
        <w:t>pat padomju okupācijas laikā.</w:t>
      </w:r>
    </w:p>
    <w:p w:rsidR="004F64BA" w:rsidRDefault="004F64BA" w:rsidP="00C373DE">
      <w:pPr>
        <w:pStyle w:val="NoSpacing"/>
        <w:jc w:val="both"/>
        <w:rPr>
          <w:sz w:val="24"/>
          <w:szCs w:val="24"/>
          <w:lang w:val="lv-LV"/>
        </w:rPr>
      </w:pPr>
    </w:p>
    <w:p w:rsidR="004F64BA" w:rsidRPr="00C373DE" w:rsidRDefault="004F64BA" w:rsidP="00C373DE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>Piemērojot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vispraktiskāko un efektīvāko pētījumu metod</w:t>
      </w:r>
      <w:r>
        <w:rPr>
          <w:sz w:val="24"/>
          <w:szCs w:val="24"/>
          <w:lang w:val="lv-LV"/>
        </w:rPr>
        <w:t>oloģiju</w:t>
      </w:r>
      <w:r w:rsidRPr="00782D28">
        <w:rPr>
          <w:sz w:val="24"/>
          <w:szCs w:val="24"/>
          <w:lang w:val="lv-LV"/>
        </w:rPr>
        <w:t>, kopīgas sadarbības ceļā novērtēt un paziņot</w:t>
      </w:r>
      <w:r>
        <w:rPr>
          <w:sz w:val="24"/>
          <w:szCs w:val="24"/>
          <w:lang w:val="lv-LV"/>
        </w:rPr>
        <w:t xml:space="preserve"> par </w:t>
      </w:r>
      <w:r w:rsidRPr="00782D28">
        <w:rPr>
          <w:sz w:val="24"/>
          <w:szCs w:val="24"/>
          <w:lang w:val="lv-LV"/>
        </w:rPr>
        <w:t>zaudējum</w:t>
      </w:r>
      <w:r>
        <w:rPr>
          <w:sz w:val="24"/>
          <w:szCs w:val="24"/>
          <w:lang w:val="lv-LV"/>
        </w:rPr>
        <w:t>iem</w:t>
      </w:r>
      <w:r w:rsidRPr="00782D28">
        <w:rPr>
          <w:sz w:val="24"/>
          <w:szCs w:val="24"/>
          <w:lang w:val="lv-LV"/>
        </w:rPr>
        <w:t>, ko visām trim Baltijas valstīm radījusi PSRS okupācija.</w:t>
      </w:r>
    </w:p>
    <w:p w:rsidR="004F64BA" w:rsidRPr="00C373DE" w:rsidRDefault="004F64BA" w:rsidP="00D32A7E">
      <w:pPr>
        <w:pStyle w:val="NoSpacing"/>
        <w:jc w:val="both"/>
        <w:rPr>
          <w:sz w:val="24"/>
          <w:szCs w:val="24"/>
          <w:lang w:val="lv-LV"/>
        </w:rPr>
      </w:pPr>
    </w:p>
    <w:p w:rsidR="004F64BA" w:rsidRPr="00C373DE" w:rsidRDefault="004F64BA" w:rsidP="00DA4694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 xml:space="preserve">Uzsvērt okupācijas faktu attiecībās ar Krievijas Federāciju un nodrošināt to, ka Krievijas Federācija kā PSRS tiesību un </w:t>
      </w:r>
      <w:r>
        <w:rPr>
          <w:sz w:val="24"/>
          <w:szCs w:val="24"/>
          <w:lang w:val="lv-LV"/>
        </w:rPr>
        <w:t xml:space="preserve">pienākumu mantiniece </w:t>
      </w:r>
      <w:r w:rsidRPr="00782D28">
        <w:rPr>
          <w:sz w:val="24"/>
          <w:szCs w:val="24"/>
          <w:lang w:val="lv-LV"/>
        </w:rPr>
        <w:t>atzīst šo okupāciju, uzņemas par to pilnu atbildību un kompensē ar to saistītos zaudējumus.</w:t>
      </w:r>
    </w:p>
    <w:p w:rsidR="004F64BA" w:rsidRPr="00C373DE" w:rsidRDefault="004F64BA" w:rsidP="00D32A7E">
      <w:pPr>
        <w:pStyle w:val="NoSpacing"/>
        <w:jc w:val="both"/>
        <w:rPr>
          <w:sz w:val="24"/>
          <w:szCs w:val="24"/>
          <w:lang w:val="lv-LV"/>
        </w:rPr>
      </w:pPr>
    </w:p>
    <w:p w:rsidR="004F64BA" w:rsidRPr="00C373DE" w:rsidRDefault="004F64BA" w:rsidP="00DA4694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 xml:space="preserve">Dot iespēju </w:t>
      </w:r>
      <w:r w:rsidRPr="00782D28">
        <w:rPr>
          <w:sz w:val="24"/>
          <w:szCs w:val="24"/>
          <w:lang w:val="lv-LV"/>
        </w:rPr>
        <w:t>visām trīs Baltijas valstīm sagatavoties starptautiskai tiesvedībai</w:t>
      </w:r>
      <w:r>
        <w:rPr>
          <w:sz w:val="24"/>
          <w:szCs w:val="24"/>
          <w:lang w:val="lv-LV"/>
        </w:rPr>
        <w:t xml:space="preserve">, lai </w:t>
      </w:r>
      <w:r w:rsidRPr="00782D28">
        <w:rPr>
          <w:sz w:val="24"/>
          <w:szCs w:val="24"/>
          <w:lang w:val="lv-LV"/>
        </w:rPr>
        <w:t>saskaņā ar starptautiskaj</w:t>
      </w:r>
      <w:r>
        <w:rPr>
          <w:sz w:val="24"/>
          <w:szCs w:val="24"/>
          <w:lang w:val="lv-LV"/>
        </w:rPr>
        <w:t xml:space="preserve">ām tiesību normām </w:t>
      </w:r>
      <w:r w:rsidRPr="00782D28">
        <w:rPr>
          <w:sz w:val="24"/>
          <w:szCs w:val="24"/>
          <w:lang w:val="lv-LV"/>
        </w:rPr>
        <w:t>pieprasītu juridiski un</w:t>
      </w:r>
      <w:r>
        <w:rPr>
          <w:sz w:val="24"/>
          <w:szCs w:val="24"/>
          <w:lang w:val="lv-LV"/>
        </w:rPr>
        <w:t xml:space="preserve"> ekonomiski </w:t>
      </w:r>
      <w:r w:rsidRPr="00782D28">
        <w:rPr>
          <w:sz w:val="24"/>
          <w:szCs w:val="24"/>
          <w:lang w:val="lv-LV"/>
        </w:rPr>
        <w:t>pamatotu kompensāciju no Krievijas Federācijas.</w:t>
      </w:r>
    </w:p>
    <w:p w:rsidR="004F64BA" w:rsidRPr="00C373DE" w:rsidRDefault="004F64BA" w:rsidP="00D32A7E">
      <w:pPr>
        <w:pStyle w:val="NoSpacing"/>
        <w:jc w:val="both"/>
        <w:rPr>
          <w:sz w:val="24"/>
          <w:szCs w:val="24"/>
          <w:lang w:val="lv-LV"/>
        </w:rPr>
      </w:pPr>
    </w:p>
    <w:p w:rsidR="004F64BA" w:rsidRPr="00782D28" w:rsidRDefault="004F64BA" w:rsidP="004F2F4A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C373DE">
        <w:rPr>
          <w:sz w:val="24"/>
          <w:szCs w:val="24"/>
          <w:lang w:val="lv-LV"/>
        </w:rPr>
        <w:t>P</w:t>
      </w:r>
      <w:r>
        <w:rPr>
          <w:sz w:val="24"/>
          <w:szCs w:val="24"/>
          <w:lang w:val="lv-LV"/>
        </w:rPr>
        <w:t xml:space="preserve">amatojoties </w:t>
      </w:r>
      <w:r w:rsidRPr="003054FE">
        <w:rPr>
          <w:sz w:val="24"/>
          <w:szCs w:val="24"/>
          <w:lang w:val="lv-LV"/>
        </w:rPr>
        <w:t>uz faktiem un informāciju, kas iegūta no pētījumiem un aprēķiniem</w:t>
      </w:r>
      <w:r>
        <w:rPr>
          <w:sz w:val="24"/>
          <w:szCs w:val="24"/>
          <w:lang w:val="lv-LV"/>
        </w:rPr>
        <w:t>, n</w:t>
      </w:r>
      <w:r w:rsidRPr="00782D28">
        <w:rPr>
          <w:sz w:val="24"/>
          <w:szCs w:val="24"/>
          <w:lang w:val="lv-LV"/>
        </w:rPr>
        <w:t>odrošināt mūsdienu un nākotnes paaudzēm pilnīgu un objektīvu izpratni par PSRS okupāciju un tās atstātajām sekām</w:t>
      </w:r>
      <w:r>
        <w:rPr>
          <w:sz w:val="24"/>
          <w:szCs w:val="24"/>
          <w:lang w:val="lv-LV"/>
        </w:rPr>
        <w:t xml:space="preserve">, kā arī </w:t>
      </w:r>
      <w:r w:rsidRPr="004F2F4A">
        <w:rPr>
          <w:sz w:val="24"/>
          <w:szCs w:val="24"/>
          <w:lang w:val="lv-LV"/>
        </w:rPr>
        <w:t xml:space="preserve">dot </w:t>
      </w:r>
      <w:r>
        <w:rPr>
          <w:sz w:val="24"/>
          <w:szCs w:val="24"/>
          <w:lang w:val="lv-LV"/>
        </w:rPr>
        <w:t>i</w:t>
      </w:r>
      <w:r w:rsidRPr="004F2F4A">
        <w:rPr>
          <w:sz w:val="24"/>
          <w:szCs w:val="24"/>
          <w:lang w:val="lv-LV"/>
        </w:rPr>
        <w:t xml:space="preserve">espēju celt individuālas prasības. </w:t>
      </w:r>
    </w:p>
    <w:p w:rsidR="004F64BA" w:rsidRPr="00782D28" w:rsidRDefault="004F64BA" w:rsidP="00782D28">
      <w:pPr>
        <w:pStyle w:val="NoSpacing"/>
        <w:ind w:left="360"/>
        <w:jc w:val="both"/>
        <w:rPr>
          <w:sz w:val="24"/>
          <w:szCs w:val="24"/>
          <w:lang w:val="lv-LV"/>
        </w:rPr>
      </w:pPr>
    </w:p>
    <w:p w:rsidR="004F64BA" w:rsidRPr="00C373DE" w:rsidRDefault="004F64BA" w:rsidP="00413B75">
      <w:pPr>
        <w:pStyle w:val="NoSpacing"/>
        <w:numPr>
          <w:ilvl w:val="0"/>
          <w:numId w:val="3"/>
        </w:numPr>
        <w:jc w:val="both"/>
        <w:rPr>
          <w:sz w:val="24"/>
          <w:szCs w:val="24"/>
          <w:lang w:val="lv-LV"/>
        </w:rPr>
      </w:pPr>
      <w:r w:rsidRPr="00782D28">
        <w:rPr>
          <w:sz w:val="24"/>
          <w:szCs w:val="24"/>
          <w:lang w:val="lv-LV"/>
        </w:rPr>
        <w:t>Nodrošināt totalitārā komunistu režīma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noziegumu un it īpaši Baltijas valstu okupācijas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pienācīgu izvērtēšanu starptautiskajā līmenī.</w:t>
      </w:r>
    </w:p>
    <w:p w:rsidR="004F64BA" w:rsidRPr="00C373DE" w:rsidRDefault="004F64BA" w:rsidP="001E630C">
      <w:pPr>
        <w:pStyle w:val="NoSpacing"/>
        <w:jc w:val="both"/>
        <w:rPr>
          <w:sz w:val="24"/>
          <w:szCs w:val="24"/>
          <w:lang w:val="lv-LV"/>
        </w:rPr>
      </w:pP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en-GB"/>
        </w:rPr>
      </w:pPr>
      <w:r w:rsidRPr="00782D28">
        <w:rPr>
          <w:sz w:val="24"/>
          <w:szCs w:val="24"/>
          <w:lang w:val="lv-LV"/>
        </w:rPr>
        <w:t>Igaunijas Republikas tieslietu ministrs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Urmass</w:t>
      </w:r>
      <w:r>
        <w:rPr>
          <w:sz w:val="24"/>
          <w:szCs w:val="24"/>
          <w:lang w:val="lv-LV"/>
        </w:rPr>
        <w:t xml:space="preserve"> </w:t>
      </w:r>
      <w:r w:rsidRPr="00782D28">
        <w:rPr>
          <w:sz w:val="24"/>
          <w:szCs w:val="24"/>
          <w:lang w:val="lv-LV"/>
        </w:rPr>
        <w:t>Reinsalu</w:t>
      </w:r>
    </w:p>
    <w:p w:rsidR="004F64BA" w:rsidRPr="00782D28" w:rsidRDefault="004F64BA" w:rsidP="001E630C">
      <w:pPr>
        <w:pStyle w:val="NoSpacing"/>
        <w:jc w:val="both"/>
        <w:rPr>
          <w:sz w:val="24"/>
          <w:szCs w:val="24"/>
          <w:lang w:val="en-GB"/>
        </w:rPr>
      </w:pPr>
      <w:r w:rsidRPr="00782D28">
        <w:rPr>
          <w:sz w:val="24"/>
          <w:szCs w:val="24"/>
          <w:lang w:val="lv-LV"/>
        </w:rPr>
        <w:t>Latvijas Republikas tieslietu ministrs Dzintars Rasnačs</w:t>
      </w:r>
    </w:p>
    <w:p w:rsidR="004F64BA" w:rsidRPr="00C373DE" w:rsidRDefault="004F64BA" w:rsidP="001E630C">
      <w:pPr>
        <w:pStyle w:val="NoSpacing"/>
        <w:jc w:val="both"/>
        <w:rPr>
          <w:sz w:val="24"/>
          <w:szCs w:val="24"/>
          <w:lang w:val="pt-BR"/>
        </w:rPr>
      </w:pPr>
      <w:r w:rsidRPr="00782D28">
        <w:rPr>
          <w:sz w:val="24"/>
          <w:szCs w:val="24"/>
          <w:lang w:val="lv-LV"/>
        </w:rPr>
        <w:t>Lietuvas Republikas tieslietu ministrs</w:t>
      </w:r>
      <w:r>
        <w:rPr>
          <w:sz w:val="24"/>
          <w:szCs w:val="24"/>
          <w:lang w:val="lv-LV"/>
        </w:rPr>
        <w:t xml:space="preserve"> </w:t>
      </w:r>
      <w:r w:rsidRPr="00C373DE">
        <w:rPr>
          <w:sz w:val="24"/>
          <w:szCs w:val="24"/>
          <w:lang w:val="pt-BR"/>
        </w:rPr>
        <w:t>Jozs Bernatonis</w:t>
      </w:r>
    </w:p>
    <w:p w:rsidR="004F64BA" w:rsidRPr="00C373DE" w:rsidRDefault="004F64BA" w:rsidP="001E630C">
      <w:pPr>
        <w:pStyle w:val="NoSpacing"/>
        <w:jc w:val="both"/>
        <w:rPr>
          <w:sz w:val="24"/>
          <w:szCs w:val="24"/>
          <w:lang w:val="pt-BR"/>
        </w:rPr>
      </w:pPr>
    </w:p>
    <w:p w:rsidR="004F64BA" w:rsidRPr="00C373DE" w:rsidRDefault="004F64BA" w:rsidP="001E630C">
      <w:pPr>
        <w:pStyle w:val="NoSpacing"/>
        <w:jc w:val="both"/>
        <w:rPr>
          <w:sz w:val="24"/>
          <w:szCs w:val="24"/>
          <w:lang w:val="pt-BR"/>
        </w:rPr>
      </w:pPr>
      <w:r w:rsidRPr="00782D28">
        <w:rPr>
          <w:sz w:val="24"/>
          <w:szCs w:val="24"/>
          <w:lang w:val="lv-LV"/>
        </w:rPr>
        <w:t>2015.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>gada 5.</w:t>
      </w:r>
      <w:r w:rsidRPr="00DA47B6">
        <w:rPr>
          <w:sz w:val="24"/>
          <w:szCs w:val="24"/>
          <w:lang w:val="lv-LV"/>
        </w:rPr>
        <w:t> </w:t>
      </w:r>
      <w:r w:rsidRPr="00782D28">
        <w:rPr>
          <w:sz w:val="24"/>
          <w:szCs w:val="24"/>
          <w:lang w:val="lv-LV"/>
        </w:rPr>
        <w:t>novembrī, Rīgā</w:t>
      </w:r>
    </w:p>
    <w:sectPr w:rsidR="004F64BA" w:rsidRPr="00C373DE" w:rsidSect="00782D28">
      <w:headerReference w:type="default" r:id="rId7"/>
      <w:pgSz w:w="12240" w:h="15840"/>
      <w:pgMar w:top="142" w:right="1134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64BA" w:rsidRDefault="004F64BA" w:rsidP="00056A26">
      <w:pPr>
        <w:spacing w:after="0" w:line="240" w:lineRule="auto"/>
      </w:pPr>
      <w:r>
        <w:separator/>
      </w:r>
    </w:p>
  </w:endnote>
  <w:endnote w:type="continuationSeparator" w:id="1">
    <w:p w:rsidR="004F64BA" w:rsidRDefault="004F64BA" w:rsidP="0005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Vrinda">
    <w:panose1 w:val="00000400000000000000"/>
    <w:charset w:val="01"/>
    <w:family w:val="roman"/>
    <w:notTrueType/>
    <w:pitch w:val="variable"/>
    <w:sig w:usb0="00000003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64BA" w:rsidRDefault="004F64BA" w:rsidP="00056A26">
      <w:pPr>
        <w:spacing w:after="0" w:line="240" w:lineRule="auto"/>
      </w:pPr>
      <w:r>
        <w:separator/>
      </w:r>
    </w:p>
  </w:footnote>
  <w:footnote w:type="continuationSeparator" w:id="1">
    <w:p w:rsidR="004F64BA" w:rsidRDefault="004F64BA" w:rsidP="0005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4BA" w:rsidRPr="0071745B" w:rsidRDefault="004F64BA" w:rsidP="00D027FD">
    <w:pPr>
      <w:pStyle w:val="Header"/>
      <w:jc w:val="right"/>
      <w:rPr>
        <w:rFonts w:ascii="Times New Roman" w:hAnsi="Times New Roman" w:cs="Times New Roman"/>
        <w:i/>
        <w:iCs/>
        <w:sz w:val="28"/>
        <w:szCs w:val="28"/>
      </w:rPr>
    </w:pPr>
  </w:p>
  <w:p w:rsidR="004F64BA" w:rsidRDefault="004F64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F5BD2"/>
    <w:multiLevelType w:val="hybridMultilevel"/>
    <w:tmpl w:val="AAD0750E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9F4A77"/>
    <w:multiLevelType w:val="hybridMultilevel"/>
    <w:tmpl w:val="F5A69EF6"/>
    <w:lvl w:ilvl="0" w:tplc="042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6CC1B6B"/>
    <w:multiLevelType w:val="hybridMultilevel"/>
    <w:tmpl w:val="A1B04D14"/>
    <w:lvl w:ilvl="0" w:tplc="0426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6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6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6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6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6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6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20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3FCA"/>
    <w:rsid w:val="00002B62"/>
    <w:rsid w:val="00022741"/>
    <w:rsid w:val="00056A26"/>
    <w:rsid w:val="000B6CD4"/>
    <w:rsid w:val="000D73CF"/>
    <w:rsid w:val="000E3D3E"/>
    <w:rsid w:val="000E3FCA"/>
    <w:rsid w:val="00124EFD"/>
    <w:rsid w:val="00155849"/>
    <w:rsid w:val="001C5DB3"/>
    <w:rsid w:val="001E039D"/>
    <w:rsid w:val="001E3561"/>
    <w:rsid w:val="001E630C"/>
    <w:rsid w:val="00251531"/>
    <w:rsid w:val="002B07B6"/>
    <w:rsid w:val="002D74D6"/>
    <w:rsid w:val="00301314"/>
    <w:rsid w:val="003054FE"/>
    <w:rsid w:val="00313644"/>
    <w:rsid w:val="00331ED2"/>
    <w:rsid w:val="00353956"/>
    <w:rsid w:val="00357834"/>
    <w:rsid w:val="00381302"/>
    <w:rsid w:val="00395549"/>
    <w:rsid w:val="003A7ECF"/>
    <w:rsid w:val="003B1667"/>
    <w:rsid w:val="003B35A0"/>
    <w:rsid w:val="003D316B"/>
    <w:rsid w:val="003D6D14"/>
    <w:rsid w:val="003E6572"/>
    <w:rsid w:val="00412E1A"/>
    <w:rsid w:val="00413B75"/>
    <w:rsid w:val="0041447F"/>
    <w:rsid w:val="0042546C"/>
    <w:rsid w:val="00433A2F"/>
    <w:rsid w:val="00467B38"/>
    <w:rsid w:val="004F2F4A"/>
    <w:rsid w:val="004F64BA"/>
    <w:rsid w:val="00506D14"/>
    <w:rsid w:val="00530E03"/>
    <w:rsid w:val="00567C9A"/>
    <w:rsid w:val="00581620"/>
    <w:rsid w:val="005F0CCA"/>
    <w:rsid w:val="005F3CBC"/>
    <w:rsid w:val="006039A8"/>
    <w:rsid w:val="00606312"/>
    <w:rsid w:val="00650690"/>
    <w:rsid w:val="0066244E"/>
    <w:rsid w:val="00674245"/>
    <w:rsid w:val="00674D4D"/>
    <w:rsid w:val="006B52A4"/>
    <w:rsid w:val="006C30B7"/>
    <w:rsid w:val="006C30D9"/>
    <w:rsid w:val="006D6C0B"/>
    <w:rsid w:val="006F1B52"/>
    <w:rsid w:val="006F3D6E"/>
    <w:rsid w:val="00716379"/>
    <w:rsid w:val="0071745B"/>
    <w:rsid w:val="007446E4"/>
    <w:rsid w:val="00763430"/>
    <w:rsid w:val="00782D28"/>
    <w:rsid w:val="00790AE2"/>
    <w:rsid w:val="00792838"/>
    <w:rsid w:val="0079372E"/>
    <w:rsid w:val="0079697B"/>
    <w:rsid w:val="007E2C6E"/>
    <w:rsid w:val="00813C16"/>
    <w:rsid w:val="008310AB"/>
    <w:rsid w:val="008846AB"/>
    <w:rsid w:val="00885875"/>
    <w:rsid w:val="008970C2"/>
    <w:rsid w:val="008C210D"/>
    <w:rsid w:val="00900FB9"/>
    <w:rsid w:val="00917D11"/>
    <w:rsid w:val="00926DD1"/>
    <w:rsid w:val="00927A34"/>
    <w:rsid w:val="00973A99"/>
    <w:rsid w:val="009C159E"/>
    <w:rsid w:val="009C6FBA"/>
    <w:rsid w:val="009D56C5"/>
    <w:rsid w:val="009E349A"/>
    <w:rsid w:val="009F0477"/>
    <w:rsid w:val="00A0640C"/>
    <w:rsid w:val="00A1720D"/>
    <w:rsid w:val="00A32389"/>
    <w:rsid w:val="00A873A8"/>
    <w:rsid w:val="00A87BE4"/>
    <w:rsid w:val="00AC6490"/>
    <w:rsid w:val="00AC7A84"/>
    <w:rsid w:val="00AD3183"/>
    <w:rsid w:val="00AE2554"/>
    <w:rsid w:val="00B142C7"/>
    <w:rsid w:val="00B14385"/>
    <w:rsid w:val="00B66EC4"/>
    <w:rsid w:val="00BF23B6"/>
    <w:rsid w:val="00BF47A9"/>
    <w:rsid w:val="00C373DE"/>
    <w:rsid w:val="00C5342B"/>
    <w:rsid w:val="00C92022"/>
    <w:rsid w:val="00CB6830"/>
    <w:rsid w:val="00D027FD"/>
    <w:rsid w:val="00D32A7E"/>
    <w:rsid w:val="00D56F6A"/>
    <w:rsid w:val="00DA4694"/>
    <w:rsid w:val="00DA47B6"/>
    <w:rsid w:val="00DD7496"/>
    <w:rsid w:val="00E40D27"/>
    <w:rsid w:val="00F261C8"/>
    <w:rsid w:val="00F3144C"/>
    <w:rsid w:val="00F41050"/>
    <w:rsid w:val="00F4169F"/>
    <w:rsid w:val="00F5318B"/>
    <w:rsid w:val="00F62E35"/>
    <w:rsid w:val="00F64DDA"/>
    <w:rsid w:val="00F729FE"/>
    <w:rsid w:val="00F95095"/>
    <w:rsid w:val="00FB150F"/>
    <w:rsid w:val="00FC0CA8"/>
    <w:rsid w:val="00FC762F"/>
    <w:rsid w:val="00FD0B94"/>
    <w:rsid w:val="00FD45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sz w:val="22"/>
        <w:szCs w:val="22"/>
        <w:lang w:val="lv-LV" w:eastAsia="lv-L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A26"/>
    <w:pPr>
      <w:spacing w:after="160" w:line="259" w:lineRule="auto"/>
    </w:pPr>
    <w:rPr>
      <w:rFonts w:cs="Calibri"/>
      <w:lang w:val="en-US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6A26"/>
    <w:pPr>
      <w:ind w:left="720"/>
    </w:pPr>
  </w:style>
  <w:style w:type="paragraph" w:styleId="Header">
    <w:name w:val="header"/>
    <w:basedOn w:val="Normal"/>
    <w:link w:val="HeaderChar"/>
    <w:uiPriority w:val="99"/>
    <w:rsid w:val="00056A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56A26"/>
    <w:rPr>
      <w:rFonts w:cs="Times New Roman"/>
      <w:lang w:val="en-US"/>
    </w:rPr>
  </w:style>
  <w:style w:type="paragraph" w:styleId="Footer">
    <w:name w:val="footer"/>
    <w:basedOn w:val="Normal"/>
    <w:link w:val="FooterChar"/>
    <w:uiPriority w:val="99"/>
    <w:rsid w:val="00056A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56A26"/>
    <w:rPr>
      <w:rFonts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A87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87BE4"/>
    <w:rPr>
      <w:rFonts w:ascii="Tahoma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rsid w:val="00813C1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813C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813C16"/>
    <w:rPr>
      <w:rFonts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13C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13C16"/>
    <w:rPr>
      <w:b/>
      <w:bCs/>
    </w:rPr>
  </w:style>
  <w:style w:type="paragraph" w:styleId="NoSpacing">
    <w:name w:val="No Spacing"/>
    <w:uiPriority w:val="99"/>
    <w:qFormat/>
    <w:rsid w:val="00FC0CA8"/>
    <w:rPr>
      <w:rFonts w:cs="Calibri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1674</Words>
  <Characters>955</Characters>
  <Application>Microsoft Office Outlook</Application>
  <DocSecurity>0</DocSecurity>
  <Lines>0</Lines>
  <Paragraphs>0</Paragraphs>
  <ScaleCrop>false</ScaleCrop>
  <Company>Tieslietu Sektors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Baltijas valstu tieslietu ministru kopīgā deklarācija</dc:title>
  <dc:subject/>
  <dc:creator>Liga Adamsone</dc:creator>
  <cp:keywords/>
  <dc:description/>
  <cp:lastModifiedBy>Microsoft</cp:lastModifiedBy>
  <cp:revision>3</cp:revision>
  <cp:lastPrinted>2015-11-10T13:30:00Z</cp:lastPrinted>
  <dcterms:created xsi:type="dcterms:W3CDTF">2015-12-21T15:04:00Z</dcterms:created>
  <dcterms:modified xsi:type="dcterms:W3CDTF">2019-02-08T05:18:00Z</dcterms:modified>
</cp:coreProperties>
</file>